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30954" w14:textId="77777777" w:rsidR="00E42BD2" w:rsidRPr="00E42BD2" w:rsidRDefault="00E42BD2" w:rsidP="00E42BD2">
      <w:pPr>
        <w:jc w:val="center"/>
        <w:rPr>
          <w:rFonts w:eastAsia="Times New Roman" w:cs="Times New Roman"/>
          <w:color w:val="1D1D1D"/>
          <w:szCs w:val="24"/>
          <w:shd w:val="clear" w:color="auto" w:fill="FFFFFF"/>
        </w:rPr>
      </w:pPr>
      <w:bookmarkStart w:id="0" w:name="_GoBack"/>
      <w:bookmarkEnd w:id="0"/>
    </w:p>
    <w:p w14:paraId="77CA8212" w14:textId="77777777" w:rsidR="00E42BD2" w:rsidRPr="00E42BD2" w:rsidRDefault="00E42BD2" w:rsidP="00E42BD2">
      <w:pPr>
        <w:jc w:val="center"/>
        <w:rPr>
          <w:rFonts w:eastAsia="Times New Roman" w:cs="Times New Roman"/>
          <w:color w:val="1D1D1D"/>
          <w:szCs w:val="24"/>
          <w:shd w:val="clear" w:color="auto" w:fill="FFFFFF"/>
        </w:rPr>
      </w:pPr>
    </w:p>
    <w:p w14:paraId="51826F5C" w14:textId="77777777" w:rsidR="00E42BD2" w:rsidRPr="00E42BD2" w:rsidRDefault="00E42BD2" w:rsidP="00E42BD2">
      <w:pPr>
        <w:jc w:val="center"/>
        <w:rPr>
          <w:rFonts w:eastAsia="Times New Roman" w:cs="Times New Roman"/>
          <w:color w:val="1D1D1D"/>
          <w:szCs w:val="24"/>
          <w:shd w:val="clear" w:color="auto" w:fill="FFFFFF"/>
        </w:rPr>
      </w:pPr>
    </w:p>
    <w:p w14:paraId="05634DBB" w14:textId="77777777" w:rsidR="00E42BD2" w:rsidRPr="00E42BD2" w:rsidRDefault="00E42BD2" w:rsidP="00E42BD2">
      <w:pPr>
        <w:jc w:val="center"/>
        <w:rPr>
          <w:rFonts w:eastAsia="Times New Roman" w:cs="Times New Roman"/>
          <w:color w:val="1D1D1D"/>
          <w:szCs w:val="24"/>
          <w:shd w:val="clear" w:color="auto" w:fill="FFFFFF"/>
        </w:rPr>
      </w:pPr>
    </w:p>
    <w:p w14:paraId="00EF262D" w14:textId="77777777" w:rsidR="00E42BD2" w:rsidRPr="00E42BD2" w:rsidRDefault="00E42BD2" w:rsidP="00E42BD2">
      <w:pPr>
        <w:jc w:val="center"/>
        <w:rPr>
          <w:rFonts w:eastAsia="Times New Roman" w:cs="Times New Roman"/>
          <w:color w:val="1D1D1D"/>
          <w:szCs w:val="24"/>
          <w:shd w:val="clear" w:color="auto" w:fill="FFFFFF"/>
        </w:rPr>
      </w:pPr>
    </w:p>
    <w:p w14:paraId="7853F924" w14:textId="77777777" w:rsidR="00E42BD2" w:rsidRPr="00E42BD2" w:rsidRDefault="00E42BD2" w:rsidP="00E42BD2">
      <w:pPr>
        <w:jc w:val="center"/>
        <w:rPr>
          <w:rFonts w:eastAsia="Times New Roman" w:cs="Times New Roman"/>
          <w:color w:val="1D1D1D"/>
          <w:szCs w:val="24"/>
          <w:shd w:val="clear" w:color="auto" w:fill="FFFFFF"/>
        </w:rPr>
      </w:pPr>
    </w:p>
    <w:p w14:paraId="4CE37C15" w14:textId="4889DF13" w:rsidR="00E42BD2" w:rsidRPr="00E42BD2" w:rsidRDefault="00E42BD2" w:rsidP="00E42BD2">
      <w:pPr>
        <w:jc w:val="center"/>
        <w:rPr>
          <w:rFonts w:eastAsia="Times New Roman" w:cs="Times New Roman"/>
          <w:color w:val="1D1D1D"/>
          <w:szCs w:val="24"/>
          <w:shd w:val="clear" w:color="auto" w:fill="FFFFFF"/>
        </w:rPr>
      </w:pPr>
      <w:r w:rsidRPr="0018375A">
        <w:rPr>
          <w:rFonts w:eastAsia="Times New Roman" w:cs="Times New Roman"/>
          <w:color w:val="1D1D1D"/>
          <w:szCs w:val="24"/>
          <w:shd w:val="clear" w:color="auto" w:fill="FFFFFF"/>
        </w:rPr>
        <w:t>Alzheimer’s disease</w:t>
      </w:r>
    </w:p>
    <w:p w14:paraId="6C3FC5A0" w14:textId="658D7047" w:rsidR="00E42BD2" w:rsidRPr="00E42BD2" w:rsidRDefault="00E42BD2" w:rsidP="00E42BD2">
      <w:pPr>
        <w:jc w:val="center"/>
        <w:rPr>
          <w:rFonts w:eastAsia="Times New Roman" w:cs="Times New Roman"/>
          <w:color w:val="1D1D1D"/>
          <w:szCs w:val="24"/>
          <w:shd w:val="clear" w:color="auto" w:fill="FFFFFF"/>
        </w:rPr>
      </w:pPr>
    </w:p>
    <w:p w14:paraId="7E193605" w14:textId="283A630A" w:rsidR="00E42BD2" w:rsidRPr="00E42BD2" w:rsidRDefault="00E42BD2" w:rsidP="00E42BD2">
      <w:pPr>
        <w:jc w:val="center"/>
        <w:rPr>
          <w:rFonts w:eastAsia="Times New Roman" w:cs="Times New Roman"/>
          <w:color w:val="1D1D1D"/>
          <w:szCs w:val="24"/>
          <w:shd w:val="clear" w:color="auto" w:fill="FFFFFF"/>
        </w:rPr>
      </w:pPr>
    </w:p>
    <w:p w14:paraId="62F64EF9" w14:textId="1E408638" w:rsidR="00E42BD2" w:rsidRPr="00E42BD2" w:rsidRDefault="00E42BD2" w:rsidP="00E42BD2">
      <w:pPr>
        <w:jc w:val="center"/>
        <w:rPr>
          <w:rFonts w:eastAsia="Times New Roman" w:cs="Times New Roman"/>
          <w:color w:val="1D1D1D"/>
          <w:szCs w:val="24"/>
          <w:shd w:val="clear" w:color="auto" w:fill="FFFFFF"/>
        </w:rPr>
      </w:pPr>
    </w:p>
    <w:p w14:paraId="2C69CB11" w14:textId="71A011E8" w:rsidR="00E42BD2" w:rsidRPr="00E42BD2" w:rsidRDefault="00E42BD2" w:rsidP="00E42BD2">
      <w:pPr>
        <w:jc w:val="center"/>
        <w:rPr>
          <w:rFonts w:eastAsia="Times New Roman" w:cs="Times New Roman"/>
          <w:color w:val="1D1D1D"/>
          <w:szCs w:val="24"/>
          <w:shd w:val="clear" w:color="auto" w:fill="FFFFFF"/>
        </w:rPr>
      </w:pPr>
    </w:p>
    <w:p w14:paraId="24DBDD1B" w14:textId="77777777" w:rsidR="00E42BD2" w:rsidRPr="00E42BD2" w:rsidRDefault="00E42BD2" w:rsidP="00E42BD2">
      <w:pPr>
        <w:jc w:val="center"/>
        <w:rPr>
          <w:rFonts w:eastAsia="Times New Roman" w:cs="Times New Roman"/>
          <w:color w:val="1D1D1D"/>
          <w:szCs w:val="24"/>
          <w:shd w:val="clear" w:color="auto" w:fill="FFFFFF"/>
        </w:rPr>
      </w:pPr>
    </w:p>
    <w:p w14:paraId="411B4B0A" w14:textId="309E0F02" w:rsidR="00E42BD2" w:rsidRPr="00E42BD2" w:rsidRDefault="00E42BD2" w:rsidP="00E42BD2">
      <w:pPr>
        <w:jc w:val="center"/>
        <w:rPr>
          <w:rFonts w:eastAsia="Times New Roman" w:cs="Times New Roman"/>
          <w:color w:val="1D1D1D"/>
          <w:szCs w:val="24"/>
          <w:shd w:val="clear" w:color="auto" w:fill="FFFFFF"/>
        </w:rPr>
      </w:pPr>
      <w:r w:rsidRPr="00E42BD2">
        <w:rPr>
          <w:rFonts w:eastAsia="Times New Roman" w:cs="Times New Roman"/>
          <w:color w:val="1D1D1D"/>
          <w:szCs w:val="24"/>
          <w:shd w:val="clear" w:color="auto" w:fill="FFFFFF"/>
        </w:rPr>
        <w:t xml:space="preserve">Institutional affiliation </w:t>
      </w:r>
    </w:p>
    <w:p w14:paraId="3AB27D48" w14:textId="39B289C0" w:rsidR="00E42BD2" w:rsidRPr="00E42BD2" w:rsidRDefault="00E42BD2" w:rsidP="00E42BD2">
      <w:pPr>
        <w:jc w:val="center"/>
        <w:rPr>
          <w:rFonts w:eastAsia="Times New Roman" w:cs="Times New Roman"/>
          <w:color w:val="1D1D1D"/>
          <w:szCs w:val="24"/>
          <w:shd w:val="clear" w:color="auto" w:fill="FFFFFF"/>
        </w:rPr>
      </w:pPr>
      <w:r w:rsidRPr="00E42BD2">
        <w:rPr>
          <w:rFonts w:eastAsia="Times New Roman" w:cs="Times New Roman"/>
          <w:color w:val="1D1D1D"/>
          <w:szCs w:val="24"/>
          <w:shd w:val="clear" w:color="auto" w:fill="FFFFFF"/>
        </w:rPr>
        <w:t xml:space="preserve">Name </w:t>
      </w:r>
    </w:p>
    <w:p w14:paraId="27637013" w14:textId="77777777" w:rsidR="00E42BD2" w:rsidRPr="00E42BD2" w:rsidRDefault="00E42BD2" w:rsidP="00E42BD2">
      <w:pPr>
        <w:jc w:val="center"/>
        <w:rPr>
          <w:rFonts w:eastAsia="Times New Roman" w:cs="Times New Roman"/>
          <w:color w:val="1D1D1D"/>
          <w:szCs w:val="24"/>
          <w:shd w:val="clear" w:color="auto" w:fill="FFFFFF"/>
        </w:rPr>
      </w:pPr>
    </w:p>
    <w:p w14:paraId="28938126" w14:textId="77777777" w:rsidR="00E42BD2" w:rsidRPr="00E42BD2" w:rsidRDefault="00E42BD2" w:rsidP="00E42BD2">
      <w:pPr>
        <w:jc w:val="center"/>
        <w:rPr>
          <w:rFonts w:eastAsia="Times New Roman" w:cs="Times New Roman"/>
          <w:color w:val="1D1D1D"/>
          <w:szCs w:val="24"/>
          <w:shd w:val="clear" w:color="auto" w:fill="FFFFFF"/>
        </w:rPr>
      </w:pPr>
    </w:p>
    <w:p w14:paraId="3063ACB4" w14:textId="77777777" w:rsidR="00E42BD2" w:rsidRPr="00E42BD2" w:rsidRDefault="00E42BD2" w:rsidP="00E42BD2">
      <w:pPr>
        <w:jc w:val="center"/>
        <w:rPr>
          <w:rFonts w:eastAsia="Times New Roman" w:cs="Times New Roman"/>
          <w:color w:val="1D1D1D"/>
          <w:szCs w:val="24"/>
          <w:shd w:val="clear" w:color="auto" w:fill="FFFFFF"/>
        </w:rPr>
      </w:pPr>
    </w:p>
    <w:p w14:paraId="4920677C" w14:textId="77777777" w:rsidR="00E42BD2" w:rsidRPr="00E42BD2" w:rsidRDefault="00E42BD2" w:rsidP="00E42BD2">
      <w:pPr>
        <w:jc w:val="center"/>
        <w:rPr>
          <w:rFonts w:eastAsia="Times New Roman" w:cs="Times New Roman"/>
          <w:color w:val="1D1D1D"/>
          <w:szCs w:val="24"/>
          <w:shd w:val="clear" w:color="auto" w:fill="FFFFFF"/>
        </w:rPr>
      </w:pPr>
    </w:p>
    <w:p w14:paraId="51F90DA6" w14:textId="77777777" w:rsidR="00E42BD2" w:rsidRPr="00E42BD2" w:rsidRDefault="00E42BD2" w:rsidP="00E42BD2">
      <w:pPr>
        <w:jc w:val="center"/>
        <w:rPr>
          <w:rFonts w:eastAsia="Times New Roman" w:cs="Times New Roman"/>
          <w:color w:val="1D1D1D"/>
          <w:szCs w:val="24"/>
          <w:shd w:val="clear" w:color="auto" w:fill="FFFFFF"/>
        </w:rPr>
      </w:pPr>
    </w:p>
    <w:p w14:paraId="02670303" w14:textId="77777777" w:rsidR="00E42BD2" w:rsidRPr="00E42BD2" w:rsidRDefault="00E42BD2" w:rsidP="00E42BD2">
      <w:pPr>
        <w:jc w:val="center"/>
        <w:rPr>
          <w:rFonts w:eastAsia="Times New Roman" w:cs="Times New Roman"/>
          <w:color w:val="1D1D1D"/>
          <w:szCs w:val="24"/>
          <w:shd w:val="clear" w:color="auto" w:fill="FFFFFF"/>
        </w:rPr>
      </w:pPr>
    </w:p>
    <w:p w14:paraId="0CB4973D" w14:textId="77777777" w:rsidR="00E42BD2" w:rsidRPr="00E42BD2" w:rsidRDefault="00E42BD2" w:rsidP="00E42BD2">
      <w:pPr>
        <w:jc w:val="center"/>
        <w:rPr>
          <w:rFonts w:eastAsia="Times New Roman" w:cs="Times New Roman"/>
          <w:color w:val="1D1D1D"/>
          <w:szCs w:val="24"/>
          <w:shd w:val="clear" w:color="auto" w:fill="FFFFFF"/>
        </w:rPr>
      </w:pPr>
    </w:p>
    <w:p w14:paraId="24BA1A9B" w14:textId="77777777" w:rsidR="00E42BD2" w:rsidRPr="00E42BD2" w:rsidRDefault="00E42BD2" w:rsidP="00E42BD2">
      <w:pPr>
        <w:jc w:val="center"/>
        <w:rPr>
          <w:rFonts w:eastAsia="Times New Roman" w:cs="Times New Roman"/>
          <w:color w:val="1D1D1D"/>
          <w:szCs w:val="24"/>
          <w:shd w:val="clear" w:color="auto" w:fill="FFFFFF"/>
        </w:rPr>
      </w:pPr>
    </w:p>
    <w:p w14:paraId="148410D9" w14:textId="77777777" w:rsidR="00E42BD2" w:rsidRPr="00E42BD2" w:rsidRDefault="00E42BD2" w:rsidP="00E42BD2">
      <w:pPr>
        <w:rPr>
          <w:rFonts w:eastAsia="Times New Roman" w:cs="Times New Roman"/>
          <w:color w:val="1D1D1D"/>
          <w:szCs w:val="24"/>
          <w:shd w:val="clear" w:color="auto" w:fill="FFFFFF"/>
        </w:rPr>
      </w:pPr>
    </w:p>
    <w:p w14:paraId="4B031A92" w14:textId="21BE16F9" w:rsidR="00E42BD2" w:rsidRPr="00E42BD2" w:rsidRDefault="00E42BD2" w:rsidP="00E42BD2">
      <w:pPr>
        <w:jc w:val="center"/>
        <w:rPr>
          <w:rFonts w:eastAsia="Times New Roman" w:cs="Times New Roman"/>
          <w:color w:val="1D1D1D"/>
          <w:szCs w:val="24"/>
          <w:shd w:val="clear" w:color="auto" w:fill="FFFFFF"/>
        </w:rPr>
      </w:pPr>
      <w:r w:rsidRPr="00E42BD2">
        <w:rPr>
          <w:rFonts w:eastAsia="Times New Roman" w:cs="Times New Roman"/>
          <w:color w:val="1D1D1D"/>
          <w:szCs w:val="24"/>
          <w:shd w:val="clear" w:color="auto" w:fill="FFFFFF"/>
        </w:rPr>
        <w:lastRenderedPageBreak/>
        <w:t>Response</w:t>
      </w:r>
    </w:p>
    <w:p w14:paraId="6002E5C9" w14:textId="4E38AD75" w:rsidR="004D3C9D" w:rsidRPr="00E42BD2" w:rsidRDefault="004D3C9D" w:rsidP="00E42BD2">
      <w:pPr>
        <w:ind w:firstLine="720"/>
        <w:rPr>
          <w:rFonts w:eastAsia="Times New Roman" w:cs="Times New Roman"/>
          <w:color w:val="1D1D1D"/>
          <w:szCs w:val="24"/>
          <w:shd w:val="clear" w:color="auto" w:fill="FFFFFF"/>
        </w:rPr>
      </w:pPr>
      <w:r w:rsidRPr="00E42BD2">
        <w:rPr>
          <w:rFonts w:eastAsia="Times New Roman" w:cs="Times New Roman"/>
          <w:color w:val="1D1D1D"/>
          <w:szCs w:val="24"/>
          <w:shd w:val="clear" w:color="auto" w:fill="FFFFFF"/>
        </w:rPr>
        <w:t>The reading offers to incite into the</w:t>
      </w:r>
      <w:r w:rsidR="00E42BD2" w:rsidRPr="00E42BD2">
        <w:rPr>
          <w:rFonts w:eastAsia="Times New Roman" w:cs="Times New Roman"/>
          <w:color w:val="1D1D1D"/>
          <w:szCs w:val="24"/>
          <w:shd w:val="clear" w:color="auto" w:fill="FFFFFF"/>
        </w:rPr>
        <w:t xml:space="preserve"> </w:t>
      </w:r>
      <w:r w:rsidR="00E42BD2" w:rsidRPr="0018375A">
        <w:rPr>
          <w:rFonts w:eastAsia="Times New Roman" w:cs="Times New Roman"/>
          <w:color w:val="1D1D1D"/>
          <w:szCs w:val="24"/>
          <w:shd w:val="clear" w:color="auto" w:fill="FFFFFF"/>
        </w:rPr>
        <w:t>Alzheimer’s</w:t>
      </w:r>
      <w:r w:rsidR="00E42BD2" w:rsidRPr="00E42BD2">
        <w:rPr>
          <w:rFonts w:eastAsia="Times New Roman" w:cs="Times New Roman"/>
          <w:color w:val="1D1D1D"/>
          <w:szCs w:val="24"/>
          <w:shd w:val="clear" w:color="auto" w:fill="FFFFFF"/>
        </w:rPr>
        <w:t xml:space="preserve"> </w:t>
      </w:r>
      <w:r w:rsidRPr="00E42BD2">
        <w:rPr>
          <w:rFonts w:eastAsia="Times New Roman" w:cs="Times New Roman"/>
          <w:color w:val="1D1D1D"/>
          <w:szCs w:val="24"/>
          <w:shd w:val="clear" w:color="auto" w:fill="FFFFFF"/>
        </w:rPr>
        <w:t>disease. To fully and extensively cover the</w:t>
      </w:r>
      <w:r w:rsidR="00E42BD2" w:rsidRPr="00E42BD2">
        <w:rPr>
          <w:rFonts w:eastAsia="Times New Roman" w:cs="Times New Roman"/>
          <w:color w:val="1D1D1D"/>
          <w:szCs w:val="24"/>
          <w:shd w:val="clear" w:color="auto" w:fill="FFFFFF"/>
        </w:rPr>
        <w:t xml:space="preserve"> </w:t>
      </w:r>
      <w:r w:rsidR="00E42BD2" w:rsidRPr="0018375A">
        <w:rPr>
          <w:rFonts w:eastAsia="Times New Roman" w:cs="Times New Roman"/>
          <w:color w:val="1D1D1D"/>
          <w:szCs w:val="24"/>
          <w:shd w:val="clear" w:color="auto" w:fill="FFFFFF"/>
        </w:rPr>
        <w:t>Alzheimer’s</w:t>
      </w:r>
      <w:r w:rsidRPr="00E42BD2">
        <w:rPr>
          <w:rFonts w:eastAsia="Times New Roman" w:cs="Times New Roman"/>
          <w:color w:val="1D1D1D"/>
          <w:szCs w:val="24"/>
          <w:shd w:val="clear" w:color="auto" w:fill="FFFFFF"/>
        </w:rPr>
        <w:t xml:space="preserve"> disease, the author covers the different segments, such as the cause, treatment, and the stages of the Ad diseases. As illustrated, the </w:t>
      </w:r>
      <w:r w:rsidR="00E42BD2" w:rsidRPr="0018375A">
        <w:rPr>
          <w:rFonts w:eastAsia="Times New Roman" w:cs="Times New Roman"/>
          <w:color w:val="1D1D1D"/>
          <w:szCs w:val="24"/>
          <w:shd w:val="clear" w:color="auto" w:fill="FFFFFF"/>
        </w:rPr>
        <w:t xml:space="preserve">Alzheimer’s </w:t>
      </w:r>
      <w:r w:rsidRPr="00E42BD2">
        <w:rPr>
          <w:rFonts w:eastAsia="Times New Roman" w:cs="Times New Roman"/>
          <w:color w:val="1D1D1D"/>
          <w:szCs w:val="24"/>
          <w:shd w:val="clear" w:color="auto" w:fill="FFFFFF"/>
        </w:rPr>
        <w:t xml:space="preserve">disease occurs typically in various stages, with each of the steps having its unique characteristic during the initial phase of the infection of the disease, dementia, amnesia and cognitive malfunction symptoms. </w:t>
      </w:r>
    </w:p>
    <w:p w14:paraId="6A363552" w14:textId="1372FE05" w:rsidR="004D3C9D" w:rsidRPr="00E42BD2" w:rsidRDefault="004D3C9D" w:rsidP="004D3C9D">
      <w:pPr>
        <w:rPr>
          <w:rFonts w:eastAsia="Times New Roman" w:cs="Times New Roman"/>
          <w:color w:val="1D1D1D"/>
          <w:szCs w:val="24"/>
          <w:shd w:val="clear" w:color="auto" w:fill="FFFFFF"/>
        </w:rPr>
      </w:pPr>
      <w:r w:rsidRPr="00E42BD2">
        <w:rPr>
          <w:rFonts w:eastAsia="Times New Roman" w:cs="Times New Roman"/>
          <w:color w:val="1D1D1D"/>
          <w:szCs w:val="24"/>
          <w:shd w:val="clear" w:color="auto" w:fill="FFFFFF"/>
        </w:rPr>
        <w:t xml:space="preserve"> </w:t>
      </w:r>
      <w:r w:rsidR="00E42BD2" w:rsidRPr="00E42BD2">
        <w:rPr>
          <w:rFonts w:eastAsia="Times New Roman" w:cs="Times New Roman"/>
          <w:color w:val="1D1D1D"/>
          <w:szCs w:val="24"/>
          <w:shd w:val="clear" w:color="auto" w:fill="FFFFFF"/>
        </w:rPr>
        <w:tab/>
      </w:r>
      <w:r w:rsidRPr="00E42BD2">
        <w:rPr>
          <w:rFonts w:eastAsia="Times New Roman" w:cs="Times New Roman"/>
          <w:color w:val="1D1D1D"/>
          <w:szCs w:val="24"/>
          <w:shd w:val="clear" w:color="auto" w:fill="FFFFFF"/>
        </w:rPr>
        <w:t>Under the causes section, the author presents the cause of the</w:t>
      </w:r>
      <w:r w:rsidR="00E42BD2" w:rsidRPr="00E42BD2">
        <w:rPr>
          <w:rFonts w:eastAsia="Times New Roman" w:cs="Times New Roman"/>
          <w:color w:val="1D1D1D"/>
          <w:szCs w:val="24"/>
          <w:shd w:val="clear" w:color="auto" w:fill="FFFFFF"/>
        </w:rPr>
        <w:t xml:space="preserve"> </w:t>
      </w:r>
      <w:r w:rsidR="00E42BD2" w:rsidRPr="0018375A">
        <w:rPr>
          <w:rFonts w:eastAsia="Times New Roman" w:cs="Times New Roman"/>
          <w:color w:val="1D1D1D"/>
          <w:szCs w:val="24"/>
          <w:shd w:val="clear" w:color="auto" w:fill="FFFFFF"/>
        </w:rPr>
        <w:t xml:space="preserve">Alzheimer’s </w:t>
      </w:r>
      <w:r w:rsidRPr="00E42BD2">
        <w:rPr>
          <w:rFonts w:eastAsia="Times New Roman" w:cs="Times New Roman"/>
          <w:color w:val="1D1D1D"/>
          <w:szCs w:val="24"/>
          <w:shd w:val="clear" w:color="auto" w:fill="FFFFFF"/>
        </w:rPr>
        <w:t xml:space="preserve">disease caused by primary causes </w:t>
      </w:r>
      <w:proofErr w:type="gramStart"/>
      <w:r w:rsidRPr="00E42BD2">
        <w:rPr>
          <w:rFonts w:eastAsia="Times New Roman" w:cs="Times New Roman"/>
          <w:color w:val="1D1D1D"/>
          <w:szCs w:val="24"/>
          <w:shd w:val="clear" w:color="auto" w:fill="FFFFFF"/>
        </w:rPr>
        <w:t>( genetic</w:t>
      </w:r>
      <w:proofErr w:type="gramEnd"/>
      <w:r w:rsidRPr="00E42BD2">
        <w:rPr>
          <w:rFonts w:eastAsia="Times New Roman" w:cs="Times New Roman"/>
          <w:color w:val="1D1D1D"/>
          <w:szCs w:val="24"/>
          <w:shd w:val="clear" w:color="auto" w:fill="FFFFFF"/>
        </w:rPr>
        <w:t xml:space="preserve"> lifestyle and environmental factors) and factors responsible for causing the infection.  In the environmental factor, the exposure to toxic chemical and brain injury causes the</w:t>
      </w:r>
      <w:r w:rsidR="00E42BD2" w:rsidRPr="00E42BD2">
        <w:rPr>
          <w:rFonts w:eastAsia="Times New Roman" w:cs="Times New Roman"/>
          <w:color w:val="1D1D1D"/>
          <w:szCs w:val="24"/>
          <w:shd w:val="clear" w:color="auto" w:fill="FFFFFF"/>
        </w:rPr>
        <w:t xml:space="preserve"> </w:t>
      </w:r>
      <w:r w:rsidR="00E42BD2" w:rsidRPr="0018375A">
        <w:rPr>
          <w:rFonts w:eastAsia="Times New Roman" w:cs="Times New Roman"/>
          <w:color w:val="1D1D1D"/>
          <w:szCs w:val="24"/>
          <w:shd w:val="clear" w:color="auto" w:fill="FFFFFF"/>
        </w:rPr>
        <w:t xml:space="preserve">Alzheimer’s </w:t>
      </w:r>
      <w:r w:rsidRPr="00E42BD2">
        <w:rPr>
          <w:rFonts w:eastAsia="Times New Roman" w:cs="Times New Roman"/>
          <w:color w:val="1D1D1D"/>
          <w:szCs w:val="24"/>
          <w:shd w:val="clear" w:color="auto" w:fill="FFFFFF"/>
        </w:rPr>
        <w:t>disease. Additionally, modifiable risks also are attributed to causing the disease. The modified risks are risks that one gets exposed to due to the change of lifestyle; this includes unhealthy lifestyle, obesity, smoking, and non-compliance with the treatment for diabetes and hypertension. Furthermore, more risks such as the advancing age, diabetes, mild cognitive impairment, and severe brain damage also cause the</w:t>
      </w:r>
      <w:r w:rsidR="00E42BD2" w:rsidRPr="00E42BD2">
        <w:rPr>
          <w:rFonts w:eastAsia="Times New Roman" w:cs="Times New Roman"/>
          <w:color w:val="1D1D1D"/>
          <w:szCs w:val="24"/>
          <w:shd w:val="clear" w:color="auto" w:fill="FFFFFF"/>
        </w:rPr>
        <w:t xml:space="preserve"> </w:t>
      </w:r>
      <w:r w:rsidR="00E42BD2" w:rsidRPr="0018375A">
        <w:rPr>
          <w:rFonts w:eastAsia="Times New Roman" w:cs="Times New Roman"/>
          <w:color w:val="1D1D1D"/>
          <w:szCs w:val="24"/>
          <w:shd w:val="clear" w:color="auto" w:fill="FFFFFF"/>
        </w:rPr>
        <w:t>Alzheimer’s</w:t>
      </w:r>
      <w:r w:rsidRPr="00E42BD2">
        <w:rPr>
          <w:rFonts w:eastAsia="Times New Roman" w:cs="Times New Roman"/>
          <w:color w:val="1D1D1D"/>
          <w:szCs w:val="24"/>
          <w:shd w:val="clear" w:color="auto" w:fill="FFFFFF"/>
        </w:rPr>
        <w:t xml:space="preserve"> disease. </w:t>
      </w:r>
    </w:p>
    <w:p w14:paraId="3CA87ACF" w14:textId="1DAAE397" w:rsidR="004D3C9D" w:rsidRPr="00E42BD2" w:rsidRDefault="004D3C9D" w:rsidP="00E42BD2">
      <w:pPr>
        <w:ind w:firstLine="720"/>
        <w:rPr>
          <w:rFonts w:eastAsia="Times New Roman" w:cs="Times New Roman"/>
          <w:color w:val="1D1D1D"/>
          <w:szCs w:val="24"/>
          <w:shd w:val="clear" w:color="auto" w:fill="FFFFFF"/>
        </w:rPr>
      </w:pPr>
      <w:r w:rsidRPr="00E42BD2">
        <w:rPr>
          <w:rFonts w:eastAsia="Times New Roman" w:cs="Times New Roman"/>
          <w:color w:val="1D1D1D"/>
          <w:szCs w:val="24"/>
          <w:shd w:val="clear" w:color="auto" w:fill="FFFFFF"/>
        </w:rPr>
        <w:t xml:space="preserve">Even with the AD disease being an incurable disease, through several prevention measures, infection of the AD disease can be averted. To start with, the creation of awareness on healthy living style shall help in preventing the infection. Among some of the areas that the public should be sensitized about </w:t>
      </w:r>
      <w:proofErr w:type="gramStart"/>
      <w:r w:rsidRPr="00E42BD2">
        <w:rPr>
          <w:rFonts w:eastAsia="Times New Roman" w:cs="Times New Roman"/>
          <w:color w:val="1D1D1D"/>
          <w:szCs w:val="24"/>
          <w:shd w:val="clear" w:color="auto" w:fill="FFFFFF"/>
        </w:rPr>
        <w:t>is</w:t>
      </w:r>
      <w:proofErr w:type="gramEnd"/>
      <w:r w:rsidRPr="00E42BD2">
        <w:rPr>
          <w:rFonts w:eastAsia="Times New Roman" w:cs="Times New Roman"/>
          <w:color w:val="1D1D1D"/>
          <w:szCs w:val="24"/>
          <w:shd w:val="clear" w:color="auto" w:fill="FFFFFF"/>
        </w:rPr>
        <w:t xml:space="preserve"> unhealthy living, smoking, obesity, and exposure to brain injury as some of the risk factors of the disease. Additionally, through the advancing nursing practitioner keeping check on their elderly clients, they shall be in a position to detect the AD disease during the early stages. With this early detection of the AD disease among the elderly, it shall help in a great way in the prevention of the advancement of the disease. Moreover, even </w:t>
      </w:r>
      <w:r w:rsidRPr="00E42BD2">
        <w:rPr>
          <w:rFonts w:eastAsia="Times New Roman" w:cs="Times New Roman"/>
          <w:color w:val="1D1D1D"/>
          <w:szCs w:val="24"/>
          <w:shd w:val="clear" w:color="auto" w:fill="FFFFFF"/>
        </w:rPr>
        <w:lastRenderedPageBreak/>
        <w:t xml:space="preserve">with the offering of awareness and early detection of the AD disease, several other measures should be applied, such as physical activities, control of diabetes, stop smoking and eating a healthy diet. Typically, diabetes cholesterol, obesity, hyperlipidemia, use of anticholinergic medications, head trauma, depression, anxiety, lack of social interaction, lack of cognitive leisure activities, loneliness, isolation, lack of physical activity, smoking, alcohol consumption, and poor diet are some of the modifiable risk factors that expose many people to the AD disease. </w:t>
      </w:r>
    </w:p>
    <w:p w14:paraId="1069AEC0" w14:textId="537E5FD6" w:rsidR="00890BD4" w:rsidRDefault="004D3C9D" w:rsidP="00E42BD2">
      <w:pPr>
        <w:ind w:firstLine="720"/>
        <w:rPr>
          <w:rFonts w:eastAsia="Times New Roman" w:cs="Times New Roman"/>
          <w:color w:val="1D1D1D"/>
          <w:szCs w:val="24"/>
          <w:shd w:val="clear" w:color="auto" w:fill="FFFFFF"/>
        </w:rPr>
      </w:pPr>
      <w:r w:rsidRPr="00E42BD2">
        <w:rPr>
          <w:rFonts w:eastAsia="Times New Roman" w:cs="Times New Roman"/>
          <w:color w:val="1D1D1D"/>
          <w:szCs w:val="24"/>
          <w:shd w:val="clear" w:color="auto" w:fill="FFFFFF"/>
        </w:rPr>
        <w:t xml:space="preserve">To sum this up, the prevention of AD disease greatly depends on the actions of an individual. Through practicing a healthy life away from the smoking habits, alcohol consumption, and lack of physical exercise, one shall effectively evade the AD modified risk factors. </w:t>
      </w:r>
      <w:r w:rsidR="00890BD4" w:rsidRPr="00E42BD2">
        <w:rPr>
          <w:rFonts w:eastAsia="Times New Roman" w:cs="Times New Roman"/>
          <w:color w:val="1D1D1D"/>
          <w:szCs w:val="24"/>
          <w:shd w:val="clear" w:color="auto" w:fill="FFFFFF"/>
        </w:rPr>
        <w:t xml:space="preserve"> </w:t>
      </w:r>
    </w:p>
    <w:p w14:paraId="322F81C4" w14:textId="6391FAB1" w:rsidR="002C50FE" w:rsidRDefault="002C50FE" w:rsidP="00E42BD2">
      <w:pPr>
        <w:ind w:firstLine="720"/>
        <w:rPr>
          <w:rFonts w:eastAsia="Times New Roman" w:cs="Times New Roman"/>
          <w:color w:val="1D1D1D"/>
          <w:szCs w:val="24"/>
          <w:shd w:val="clear" w:color="auto" w:fill="FFFFFF"/>
        </w:rPr>
      </w:pPr>
    </w:p>
    <w:p w14:paraId="724B44DE" w14:textId="4C9E006B" w:rsidR="002C50FE" w:rsidRDefault="002C50FE" w:rsidP="00E42BD2">
      <w:pPr>
        <w:ind w:firstLine="720"/>
        <w:rPr>
          <w:rFonts w:eastAsia="Times New Roman" w:cs="Times New Roman"/>
          <w:color w:val="1D1D1D"/>
          <w:szCs w:val="24"/>
          <w:shd w:val="clear" w:color="auto" w:fill="FFFFFF"/>
        </w:rPr>
      </w:pPr>
    </w:p>
    <w:p w14:paraId="6482E7CE" w14:textId="0D03A900" w:rsidR="002C50FE" w:rsidRDefault="002C50FE" w:rsidP="00E42BD2">
      <w:pPr>
        <w:ind w:firstLine="720"/>
        <w:rPr>
          <w:rFonts w:eastAsia="Times New Roman" w:cs="Times New Roman"/>
          <w:color w:val="1D1D1D"/>
          <w:szCs w:val="24"/>
          <w:shd w:val="clear" w:color="auto" w:fill="FFFFFF"/>
        </w:rPr>
      </w:pPr>
    </w:p>
    <w:p w14:paraId="60770C56" w14:textId="522126F1" w:rsidR="002C50FE" w:rsidRDefault="002C50FE" w:rsidP="00E42BD2">
      <w:pPr>
        <w:ind w:firstLine="720"/>
        <w:rPr>
          <w:rFonts w:eastAsia="Times New Roman" w:cs="Times New Roman"/>
          <w:color w:val="1D1D1D"/>
          <w:szCs w:val="24"/>
          <w:shd w:val="clear" w:color="auto" w:fill="FFFFFF"/>
        </w:rPr>
      </w:pPr>
    </w:p>
    <w:p w14:paraId="5CDFD460" w14:textId="11E34523" w:rsidR="002C50FE" w:rsidRDefault="002C50FE" w:rsidP="00E42BD2">
      <w:pPr>
        <w:ind w:firstLine="720"/>
        <w:rPr>
          <w:rFonts w:eastAsia="Times New Roman" w:cs="Times New Roman"/>
          <w:color w:val="1D1D1D"/>
          <w:szCs w:val="24"/>
          <w:shd w:val="clear" w:color="auto" w:fill="FFFFFF"/>
        </w:rPr>
      </w:pPr>
    </w:p>
    <w:p w14:paraId="56E01685" w14:textId="6DCCDF1B" w:rsidR="002C50FE" w:rsidRDefault="002C50FE" w:rsidP="00E42BD2">
      <w:pPr>
        <w:ind w:firstLine="720"/>
        <w:rPr>
          <w:rFonts w:eastAsia="Times New Roman" w:cs="Times New Roman"/>
          <w:color w:val="1D1D1D"/>
          <w:szCs w:val="24"/>
          <w:shd w:val="clear" w:color="auto" w:fill="FFFFFF"/>
        </w:rPr>
      </w:pPr>
    </w:p>
    <w:p w14:paraId="6797F323" w14:textId="4B5767F2" w:rsidR="002C50FE" w:rsidRDefault="002C50FE" w:rsidP="00E42BD2">
      <w:pPr>
        <w:ind w:firstLine="720"/>
        <w:rPr>
          <w:rFonts w:eastAsia="Times New Roman" w:cs="Times New Roman"/>
          <w:color w:val="1D1D1D"/>
          <w:szCs w:val="24"/>
          <w:shd w:val="clear" w:color="auto" w:fill="FFFFFF"/>
        </w:rPr>
      </w:pPr>
    </w:p>
    <w:p w14:paraId="733B8DC5" w14:textId="4EBABD1F" w:rsidR="002C50FE" w:rsidRDefault="002C50FE" w:rsidP="00E42BD2">
      <w:pPr>
        <w:ind w:firstLine="720"/>
        <w:rPr>
          <w:rFonts w:eastAsia="Times New Roman" w:cs="Times New Roman"/>
          <w:color w:val="1D1D1D"/>
          <w:szCs w:val="24"/>
          <w:shd w:val="clear" w:color="auto" w:fill="FFFFFF"/>
        </w:rPr>
      </w:pPr>
    </w:p>
    <w:p w14:paraId="6CF62028" w14:textId="393C8CD4" w:rsidR="002C50FE" w:rsidRDefault="002C50FE" w:rsidP="00E42BD2">
      <w:pPr>
        <w:ind w:firstLine="720"/>
        <w:rPr>
          <w:rFonts w:eastAsia="Times New Roman" w:cs="Times New Roman"/>
          <w:color w:val="1D1D1D"/>
          <w:szCs w:val="24"/>
          <w:shd w:val="clear" w:color="auto" w:fill="FFFFFF"/>
        </w:rPr>
      </w:pPr>
    </w:p>
    <w:p w14:paraId="62F362E0" w14:textId="2E251E9E" w:rsidR="002C50FE" w:rsidRDefault="002C50FE" w:rsidP="00E42BD2">
      <w:pPr>
        <w:ind w:firstLine="720"/>
        <w:rPr>
          <w:rFonts w:eastAsia="Times New Roman" w:cs="Times New Roman"/>
          <w:color w:val="1D1D1D"/>
          <w:szCs w:val="24"/>
          <w:shd w:val="clear" w:color="auto" w:fill="FFFFFF"/>
        </w:rPr>
      </w:pPr>
    </w:p>
    <w:p w14:paraId="611454CF" w14:textId="640678FE" w:rsidR="002C50FE" w:rsidRDefault="002C50FE" w:rsidP="00E42BD2">
      <w:pPr>
        <w:ind w:firstLine="720"/>
        <w:rPr>
          <w:rFonts w:eastAsia="Times New Roman" w:cs="Times New Roman"/>
          <w:color w:val="1D1D1D"/>
          <w:szCs w:val="24"/>
          <w:shd w:val="clear" w:color="auto" w:fill="FFFFFF"/>
        </w:rPr>
      </w:pPr>
    </w:p>
    <w:p w14:paraId="675C8269" w14:textId="6303E3B0" w:rsidR="002C50FE" w:rsidRDefault="002C50FE" w:rsidP="00E42BD2">
      <w:pPr>
        <w:ind w:firstLine="720"/>
        <w:rPr>
          <w:rFonts w:eastAsia="Times New Roman" w:cs="Times New Roman"/>
          <w:color w:val="1D1D1D"/>
          <w:szCs w:val="24"/>
          <w:shd w:val="clear" w:color="auto" w:fill="FFFFFF"/>
        </w:rPr>
      </w:pPr>
    </w:p>
    <w:p w14:paraId="2742C635" w14:textId="47BAAEFA" w:rsidR="002C50FE" w:rsidRDefault="002C50FE" w:rsidP="00E42BD2">
      <w:pPr>
        <w:ind w:firstLine="720"/>
        <w:rPr>
          <w:rFonts w:eastAsia="Times New Roman" w:cs="Times New Roman"/>
          <w:color w:val="1D1D1D"/>
          <w:szCs w:val="24"/>
          <w:shd w:val="clear" w:color="auto" w:fill="FFFFFF"/>
        </w:rPr>
      </w:pPr>
    </w:p>
    <w:p w14:paraId="2D67E3F6" w14:textId="2BDBEB7B" w:rsidR="002C50FE" w:rsidRDefault="002C50FE" w:rsidP="00CC3CB7">
      <w:pPr>
        <w:ind w:firstLine="720"/>
        <w:jc w:val="center"/>
        <w:rPr>
          <w:rFonts w:eastAsia="Times New Roman" w:cs="Times New Roman"/>
          <w:color w:val="1D1D1D"/>
          <w:szCs w:val="24"/>
          <w:shd w:val="clear" w:color="auto" w:fill="FFFFFF"/>
        </w:rPr>
      </w:pPr>
      <w:r>
        <w:rPr>
          <w:rFonts w:eastAsia="Times New Roman" w:cs="Times New Roman"/>
          <w:color w:val="1D1D1D"/>
          <w:szCs w:val="24"/>
          <w:shd w:val="clear" w:color="auto" w:fill="FFFFFF"/>
        </w:rPr>
        <w:lastRenderedPageBreak/>
        <w:t>References</w:t>
      </w:r>
    </w:p>
    <w:p w14:paraId="2EE59551" w14:textId="58E0D82D" w:rsidR="002C50FE" w:rsidRPr="00CC3CB7" w:rsidRDefault="002C50FE" w:rsidP="00CC3CB7">
      <w:pPr>
        <w:ind w:left="720" w:hanging="720"/>
        <w:rPr>
          <w:rFonts w:cs="Times New Roman"/>
          <w:color w:val="222222"/>
          <w:szCs w:val="24"/>
          <w:shd w:val="clear" w:color="auto" w:fill="FFFFFF"/>
        </w:rPr>
      </w:pPr>
      <w:proofErr w:type="gramStart"/>
      <w:r w:rsidRPr="00CC3CB7">
        <w:rPr>
          <w:rFonts w:cs="Times New Roman"/>
          <w:color w:val="222222"/>
          <w:szCs w:val="24"/>
          <w:shd w:val="clear" w:color="auto" w:fill="FFFFFF"/>
        </w:rPr>
        <w:t xml:space="preserve">Serena, T. E., Carter, M. J., Le, L. T., Sabo, M. J., DiMarco, D. T., &amp; </w:t>
      </w:r>
      <w:proofErr w:type="spellStart"/>
      <w:r w:rsidRPr="00CC3CB7">
        <w:rPr>
          <w:rFonts w:cs="Times New Roman"/>
          <w:color w:val="222222"/>
          <w:szCs w:val="24"/>
          <w:shd w:val="clear" w:color="auto" w:fill="FFFFFF"/>
        </w:rPr>
        <w:t>EpiFix</w:t>
      </w:r>
      <w:proofErr w:type="spellEnd"/>
      <w:r w:rsidRPr="00CC3CB7">
        <w:rPr>
          <w:rFonts w:cs="Times New Roman"/>
          <w:color w:val="222222"/>
          <w:szCs w:val="24"/>
          <w:shd w:val="clear" w:color="auto" w:fill="FFFFFF"/>
        </w:rPr>
        <w:t xml:space="preserve"> VLU Study Group.</w:t>
      </w:r>
      <w:proofErr w:type="gramEnd"/>
      <w:r w:rsidRPr="00CC3CB7">
        <w:rPr>
          <w:rFonts w:cs="Times New Roman"/>
          <w:color w:val="222222"/>
          <w:szCs w:val="24"/>
          <w:shd w:val="clear" w:color="auto" w:fill="FFFFFF"/>
        </w:rPr>
        <w:t xml:space="preserve"> (2014). A multicenter, randomized, controlled clinical trial evaluating the use of dehydrated human amnion/chorion membrane allografts and multilayer compression therapy vs. multilayer compression therapy alone in the treatment of venous leg ulcers. </w:t>
      </w:r>
      <w:r w:rsidRPr="00CC3CB7">
        <w:rPr>
          <w:rFonts w:cs="Times New Roman"/>
          <w:i/>
          <w:iCs/>
          <w:color w:val="222222"/>
          <w:szCs w:val="24"/>
          <w:shd w:val="clear" w:color="auto" w:fill="FFFFFF"/>
        </w:rPr>
        <w:t>Wound Repair and Regeneration</w:t>
      </w:r>
      <w:r w:rsidRPr="00CC3CB7">
        <w:rPr>
          <w:rFonts w:cs="Times New Roman"/>
          <w:color w:val="222222"/>
          <w:szCs w:val="24"/>
          <w:shd w:val="clear" w:color="auto" w:fill="FFFFFF"/>
        </w:rPr>
        <w:t>, </w:t>
      </w:r>
      <w:r w:rsidRPr="00CC3CB7">
        <w:rPr>
          <w:rFonts w:cs="Times New Roman"/>
          <w:i/>
          <w:iCs/>
          <w:color w:val="222222"/>
          <w:szCs w:val="24"/>
          <w:shd w:val="clear" w:color="auto" w:fill="FFFFFF"/>
        </w:rPr>
        <w:t>22</w:t>
      </w:r>
      <w:r w:rsidRPr="00CC3CB7">
        <w:rPr>
          <w:rFonts w:cs="Times New Roman"/>
          <w:color w:val="222222"/>
          <w:szCs w:val="24"/>
          <w:shd w:val="clear" w:color="auto" w:fill="FFFFFF"/>
        </w:rPr>
        <w:t>(6), 688-693.</w:t>
      </w:r>
    </w:p>
    <w:p w14:paraId="44D215CE" w14:textId="17C1FA94" w:rsidR="002C50FE" w:rsidRPr="00CC3CB7" w:rsidRDefault="002C50FE" w:rsidP="00CC3CB7">
      <w:pPr>
        <w:ind w:left="720" w:hanging="720"/>
        <w:rPr>
          <w:rFonts w:cs="Times New Roman"/>
          <w:color w:val="222222"/>
          <w:szCs w:val="24"/>
          <w:shd w:val="clear" w:color="auto" w:fill="FFFFFF"/>
        </w:rPr>
      </w:pPr>
      <w:r w:rsidRPr="00CC3CB7">
        <w:rPr>
          <w:rFonts w:cs="Times New Roman"/>
          <w:color w:val="222222"/>
          <w:szCs w:val="24"/>
          <w:shd w:val="clear" w:color="auto" w:fill="FFFFFF"/>
        </w:rPr>
        <w:t>Maughan, R. J., Burke, L. M., Dvorak, J., Larson-Meyer, D. E., Peeling, P., Phillips, S. M</w:t>
      </w:r>
      <w:proofErr w:type="gramStart"/>
      <w:r w:rsidRPr="00CC3CB7">
        <w:rPr>
          <w:rFonts w:cs="Times New Roman"/>
          <w:color w:val="222222"/>
          <w:szCs w:val="24"/>
          <w:shd w:val="clear" w:color="auto" w:fill="FFFFFF"/>
        </w:rPr>
        <w:t>., ...</w:t>
      </w:r>
      <w:proofErr w:type="gramEnd"/>
      <w:r w:rsidRPr="00CC3CB7">
        <w:rPr>
          <w:rFonts w:cs="Times New Roman"/>
          <w:color w:val="222222"/>
          <w:szCs w:val="24"/>
          <w:shd w:val="clear" w:color="auto" w:fill="FFFFFF"/>
        </w:rPr>
        <w:t xml:space="preserve"> &amp; Meeusen, R. (2018). IOC consensus statement: dietary supplements and the high-performance athlete. </w:t>
      </w:r>
      <w:proofErr w:type="gramStart"/>
      <w:r w:rsidRPr="00CC3CB7">
        <w:rPr>
          <w:rFonts w:cs="Times New Roman"/>
          <w:i/>
          <w:iCs/>
          <w:color w:val="222222"/>
          <w:szCs w:val="24"/>
          <w:shd w:val="clear" w:color="auto" w:fill="FFFFFF"/>
        </w:rPr>
        <w:t>International journal of sport nutrition and exercise metabolism</w:t>
      </w:r>
      <w:r w:rsidRPr="00CC3CB7">
        <w:rPr>
          <w:rFonts w:cs="Times New Roman"/>
          <w:color w:val="222222"/>
          <w:szCs w:val="24"/>
          <w:shd w:val="clear" w:color="auto" w:fill="FFFFFF"/>
        </w:rPr>
        <w:t>, </w:t>
      </w:r>
      <w:r w:rsidRPr="00CC3CB7">
        <w:rPr>
          <w:rFonts w:cs="Times New Roman"/>
          <w:i/>
          <w:iCs/>
          <w:color w:val="222222"/>
          <w:szCs w:val="24"/>
          <w:shd w:val="clear" w:color="auto" w:fill="FFFFFF"/>
        </w:rPr>
        <w:t>28</w:t>
      </w:r>
      <w:r w:rsidRPr="00CC3CB7">
        <w:rPr>
          <w:rFonts w:cs="Times New Roman"/>
          <w:color w:val="222222"/>
          <w:szCs w:val="24"/>
          <w:shd w:val="clear" w:color="auto" w:fill="FFFFFF"/>
        </w:rPr>
        <w:t>(2), 104-125.</w:t>
      </w:r>
      <w:proofErr w:type="gramEnd"/>
    </w:p>
    <w:p w14:paraId="602DD212" w14:textId="77777777" w:rsidR="002C50FE" w:rsidRPr="00CC3CB7" w:rsidRDefault="002C50FE" w:rsidP="00CC3CB7">
      <w:pPr>
        <w:ind w:left="720" w:hanging="720"/>
        <w:rPr>
          <w:rFonts w:cs="Times New Roman"/>
          <w:szCs w:val="24"/>
        </w:rPr>
      </w:pPr>
    </w:p>
    <w:sectPr w:rsidR="002C50FE" w:rsidRPr="00CC3CB7" w:rsidSect="00E42B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4B36D4" w14:textId="77777777" w:rsidR="00565B6A" w:rsidRDefault="00565B6A" w:rsidP="00E42BD2">
      <w:pPr>
        <w:spacing w:line="240" w:lineRule="auto"/>
      </w:pPr>
      <w:r>
        <w:separator/>
      </w:r>
    </w:p>
  </w:endnote>
  <w:endnote w:type="continuationSeparator" w:id="0">
    <w:p w14:paraId="0A3EB7B7" w14:textId="77777777" w:rsidR="00565B6A" w:rsidRDefault="00565B6A" w:rsidP="00E42B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70B05" w14:textId="77777777" w:rsidR="00565B6A" w:rsidRDefault="00565B6A" w:rsidP="00E42BD2">
      <w:pPr>
        <w:spacing w:line="240" w:lineRule="auto"/>
      </w:pPr>
      <w:r>
        <w:separator/>
      </w:r>
    </w:p>
  </w:footnote>
  <w:footnote w:type="continuationSeparator" w:id="0">
    <w:p w14:paraId="4019F55B" w14:textId="77777777" w:rsidR="00565B6A" w:rsidRDefault="00565B6A" w:rsidP="00E42BD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87640" w14:textId="1D5FACC9" w:rsidR="00E42BD2" w:rsidRPr="00E42BD2" w:rsidRDefault="00E42BD2" w:rsidP="00E42BD2">
    <w:pPr>
      <w:pStyle w:val="Header"/>
    </w:pPr>
    <w:r w:rsidRPr="0018375A">
      <w:rPr>
        <w:rFonts w:ascii="Helvetica" w:eastAsia="Times New Roman" w:hAnsi="Helvetica" w:cs="Helvetica"/>
        <w:color w:val="1D1D1D"/>
        <w:sz w:val="21"/>
        <w:szCs w:val="21"/>
        <w:shd w:val="clear" w:color="auto" w:fill="FFFFFF"/>
      </w:rPr>
      <w:t>Alzheimer’s disease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D8508" w14:textId="1BC848ED" w:rsidR="00E42BD2" w:rsidRDefault="00E42BD2">
    <w:pPr>
      <w:pStyle w:val="Header"/>
      <w:jc w:val="right"/>
    </w:pPr>
    <w:r>
      <w:t>Running head: ALZHEIMER’S DISEASE</w:t>
    </w:r>
    <w:r>
      <w:tab/>
    </w:r>
    <w:r>
      <w:tab/>
      <w:t xml:space="preserve"> </w:t>
    </w:r>
    <w:sdt>
      <w:sdtPr>
        <w:id w:val="19656994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158A">
          <w:rPr>
            <w:noProof/>
          </w:rPr>
          <w:t>1</w:t>
        </w:r>
        <w:r>
          <w:rPr>
            <w:noProof/>
          </w:rPr>
          <w:fldChar w:fldCharType="end"/>
        </w:r>
      </w:sdtContent>
    </w:sdt>
  </w:p>
  <w:p w14:paraId="6CE1BAD7" w14:textId="7FD2B883" w:rsidR="00E42BD2" w:rsidRDefault="00E42BD2" w:rsidP="00E42BD2">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E10"/>
    <w:rsid w:val="000E5364"/>
    <w:rsid w:val="0021257D"/>
    <w:rsid w:val="002C50FE"/>
    <w:rsid w:val="003A158A"/>
    <w:rsid w:val="003A6E10"/>
    <w:rsid w:val="00444470"/>
    <w:rsid w:val="004D3C9D"/>
    <w:rsid w:val="00565B6A"/>
    <w:rsid w:val="00890BD4"/>
    <w:rsid w:val="00BF1F05"/>
    <w:rsid w:val="00CC3CB7"/>
    <w:rsid w:val="00CD64FB"/>
    <w:rsid w:val="00DB3E0E"/>
    <w:rsid w:val="00E42BD2"/>
    <w:rsid w:val="00F67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C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BD2"/>
    <w:pPr>
      <w:tabs>
        <w:tab w:val="center" w:pos="4680"/>
        <w:tab w:val="right" w:pos="9360"/>
      </w:tabs>
      <w:spacing w:line="240" w:lineRule="auto"/>
    </w:pPr>
  </w:style>
  <w:style w:type="character" w:customStyle="1" w:styleId="HeaderChar">
    <w:name w:val="Header Char"/>
    <w:basedOn w:val="DefaultParagraphFont"/>
    <w:link w:val="Header"/>
    <w:uiPriority w:val="99"/>
    <w:rsid w:val="00E42BD2"/>
  </w:style>
  <w:style w:type="paragraph" w:styleId="Footer">
    <w:name w:val="footer"/>
    <w:basedOn w:val="Normal"/>
    <w:link w:val="FooterChar"/>
    <w:uiPriority w:val="99"/>
    <w:unhideWhenUsed/>
    <w:rsid w:val="00E42BD2"/>
    <w:pPr>
      <w:tabs>
        <w:tab w:val="center" w:pos="4680"/>
        <w:tab w:val="right" w:pos="9360"/>
      </w:tabs>
      <w:spacing w:line="240" w:lineRule="auto"/>
    </w:pPr>
  </w:style>
  <w:style w:type="character" w:customStyle="1" w:styleId="FooterChar">
    <w:name w:val="Footer Char"/>
    <w:basedOn w:val="DefaultParagraphFont"/>
    <w:link w:val="Footer"/>
    <w:uiPriority w:val="99"/>
    <w:rsid w:val="00E42B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BD2"/>
    <w:pPr>
      <w:tabs>
        <w:tab w:val="center" w:pos="4680"/>
        <w:tab w:val="right" w:pos="9360"/>
      </w:tabs>
      <w:spacing w:line="240" w:lineRule="auto"/>
    </w:pPr>
  </w:style>
  <w:style w:type="character" w:customStyle="1" w:styleId="HeaderChar">
    <w:name w:val="Header Char"/>
    <w:basedOn w:val="DefaultParagraphFont"/>
    <w:link w:val="Header"/>
    <w:uiPriority w:val="99"/>
    <w:rsid w:val="00E42BD2"/>
  </w:style>
  <w:style w:type="paragraph" w:styleId="Footer">
    <w:name w:val="footer"/>
    <w:basedOn w:val="Normal"/>
    <w:link w:val="FooterChar"/>
    <w:uiPriority w:val="99"/>
    <w:unhideWhenUsed/>
    <w:rsid w:val="00E42BD2"/>
    <w:pPr>
      <w:tabs>
        <w:tab w:val="center" w:pos="4680"/>
        <w:tab w:val="right" w:pos="9360"/>
      </w:tabs>
      <w:spacing w:line="240" w:lineRule="auto"/>
    </w:pPr>
  </w:style>
  <w:style w:type="character" w:customStyle="1" w:styleId="FooterChar">
    <w:name w:val="Footer Char"/>
    <w:basedOn w:val="DefaultParagraphFont"/>
    <w:link w:val="Footer"/>
    <w:uiPriority w:val="99"/>
    <w:rsid w:val="00E42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VINNY</cp:lastModifiedBy>
  <cp:revision>2</cp:revision>
  <dcterms:created xsi:type="dcterms:W3CDTF">2020-08-04T02:09:00Z</dcterms:created>
  <dcterms:modified xsi:type="dcterms:W3CDTF">2020-08-04T02:09:00Z</dcterms:modified>
</cp:coreProperties>
</file>